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39AE5" w14:textId="77777777" w:rsidR="00701265" w:rsidRPr="00C40BEB" w:rsidRDefault="00701265" w:rsidP="00701265">
      <w:pPr>
        <w:pStyle w:val="Encabezado"/>
        <w:tabs>
          <w:tab w:val="left" w:pos="2520"/>
        </w:tabs>
        <w:spacing w:after="160"/>
        <w:ind w:right="4"/>
        <w:contextualSpacing/>
        <w:jc w:val="right"/>
        <w:rPr>
          <w:rFonts w:ascii="Arial" w:hAnsi="Arial" w:cs="Arial"/>
          <w:b/>
          <w:smallCaps/>
        </w:rPr>
      </w:pPr>
      <w:r w:rsidRPr="00C40BEB">
        <w:rPr>
          <w:rFonts w:ascii="Arial" w:hAnsi="Arial" w:cs="Arial"/>
          <w:b/>
          <w:smallCaps/>
          <w:color w:val="000000" w:themeColor="text1"/>
        </w:rPr>
        <w:t>Dirección de Estado Abierto, Estudios y Evaluación</w:t>
      </w:r>
    </w:p>
    <w:p w14:paraId="0A8A2ABF" w14:textId="77777777" w:rsidR="00701265" w:rsidRPr="00770B69" w:rsidRDefault="00701265" w:rsidP="00701265">
      <w:pPr>
        <w:spacing w:before="120"/>
        <w:ind w:right="6"/>
        <w:jc w:val="right"/>
        <w:rPr>
          <w:rFonts w:ascii="Arial" w:hAnsi="Arial" w:cs="Arial"/>
          <w:sz w:val="20"/>
          <w:szCs w:val="20"/>
        </w:rPr>
      </w:pPr>
      <w:r w:rsidRPr="00770B69">
        <w:rPr>
          <w:rFonts w:ascii="Arial" w:hAnsi="Arial" w:cs="Arial"/>
          <w:sz w:val="20"/>
          <w:szCs w:val="20"/>
        </w:rPr>
        <w:t>Ciudad de México, 1</w:t>
      </w:r>
      <w:r>
        <w:rPr>
          <w:rFonts w:ascii="Arial" w:hAnsi="Arial" w:cs="Arial"/>
          <w:sz w:val="20"/>
          <w:szCs w:val="20"/>
        </w:rPr>
        <w:t>1</w:t>
      </w:r>
      <w:r w:rsidRPr="00770B69">
        <w:rPr>
          <w:rFonts w:ascii="Arial" w:hAnsi="Arial" w:cs="Arial"/>
          <w:sz w:val="20"/>
          <w:szCs w:val="20"/>
        </w:rPr>
        <w:t xml:space="preserve"> de mayo de 2020.</w:t>
      </w:r>
    </w:p>
    <w:p w14:paraId="719695E9" w14:textId="77777777" w:rsidR="00701265" w:rsidRPr="00770B69" w:rsidRDefault="00701265" w:rsidP="00701265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4"/>
      </w:tblGrid>
      <w:tr w:rsidR="00701265" w:rsidRPr="000D02C7" w14:paraId="1AB361DE" w14:textId="77777777" w:rsidTr="001735E2">
        <w:trPr>
          <w:trHeight w:val="346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01F226" w14:textId="77777777" w:rsidR="00701265" w:rsidRPr="000D02C7" w:rsidRDefault="00701265" w:rsidP="001735E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bookmarkStart w:id="0" w:name="_heading=h.j0f27mkibakt"/>
            <w:bookmarkStart w:id="1" w:name="_heading=h.2fwazc2qb3nq"/>
            <w:bookmarkEnd w:id="0"/>
            <w:bookmarkEnd w:id="1"/>
            <w:r w:rsidRPr="000D02C7">
              <w:rPr>
                <w:rFonts w:ascii="Arial Narrow" w:eastAsia="Arial" w:hAnsi="Arial Narrow" w:cs="Arial"/>
                <w:b/>
                <w:sz w:val="22"/>
                <w:szCs w:val="22"/>
              </w:rPr>
              <w:t>Conferencia de Prensa vespertina COVID-19 Secretaría de Salud del Gobierno Federal</w:t>
            </w:r>
          </w:p>
        </w:tc>
      </w:tr>
      <w:tr w:rsidR="00701265" w:rsidRPr="000D02C7" w14:paraId="5BE3BA5E" w14:textId="77777777" w:rsidTr="001735E2">
        <w:trPr>
          <w:trHeight w:val="4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E2EC1" w14:textId="77777777" w:rsidR="00701265" w:rsidRPr="000D02C7" w:rsidRDefault="00701265" w:rsidP="001735E2">
            <w:pPr>
              <w:spacing w:line="276" w:lineRule="auto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0D02C7">
              <w:rPr>
                <w:rFonts w:ascii="Arial Narrow" w:eastAsia="Arial" w:hAnsi="Arial Narrow" w:cs="Arial"/>
                <w:b/>
                <w:sz w:val="22"/>
                <w:szCs w:val="22"/>
              </w:rPr>
              <w:t>Fecha: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4894B" w14:textId="77777777" w:rsidR="00701265" w:rsidRPr="000D02C7" w:rsidRDefault="00701265" w:rsidP="001735E2">
            <w:pPr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sz w:val="22"/>
                <w:szCs w:val="22"/>
              </w:rPr>
              <w:t>11</w:t>
            </w:r>
            <w:r w:rsidRPr="000D02C7">
              <w:rPr>
                <w:rFonts w:ascii="Arial Narrow" w:eastAsia="Arial" w:hAnsi="Arial Narrow" w:cs="Arial"/>
                <w:sz w:val="22"/>
                <w:szCs w:val="22"/>
              </w:rPr>
              <w:t xml:space="preserve"> de mayo de 2020. De 19:00 a 20:00 horas.</w:t>
            </w:r>
          </w:p>
        </w:tc>
      </w:tr>
      <w:tr w:rsidR="00701265" w:rsidRPr="000D02C7" w14:paraId="478EBCC9" w14:textId="77777777" w:rsidTr="001735E2">
        <w:trPr>
          <w:trHeight w:val="413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83DC" w14:textId="77777777" w:rsidR="00701265" w:rsidRPr="000D02C7" w:rsidRDefault="00701265" w:rsidP="001735E2">
            <w:pPr>
              <w:spacing w:line="276" w:lineRule="auto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0D02C7">
              <w:rPr>
                <w:rFonts w:ascii="Arial Narrow" w:eastAsia="Arial" w:hAnsi="Arial Narrow" w:cs="Arial"/>
                <w:b/>
                <w:sz w:val="22"/>
                <w:szCs w:val="22"/>
              </w:rPr>
              <w:t>Fuente: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C7558" w14:textId="77777777" w:rsidR="00701265" w:rsidRPr="000D02C7" w:rsidRDefault="00701265" w:rsidP="001735E2">
            <w:pPr>
              <w:spacing w:line="276" w:lineRule="auto"/>
              <w:rPr>
                <w:rFonts w:ascii="Arial Narrow" w:eastAsia="Arial" w:hAnsi="Arial Narrow" w:cs="Arial"/>
                <w:sz w:val="22"/>
                <w:szCs w:val="22"/>
              </w:rPr>
            </w:pPr>
            <w:r w:rsidRPr="000D02C7">
              <w:rPr>
                <w:rFonts w:ascii="Arial Narrow" w:eastAsia="Arial" w:hAnsi="Arial Narrow" w:cs="Arial"/>
                <w:sz w:val="22"/>
                <w:szCs w:val="22"/>
              </w:rPr>
              <w:t xml:space="preserve">Secretaría de Salud. </w:t>
            </w:r>
            <w:r w:rsidRPr="000D02C7">
              <w:rPr>
                <w:rFonts w:ascii="Arial Narrow" w:hAnsi="Arial Narrow" w:cs="Arial"/>
                <w:sz w:val="22"/>
                <w:szCs w:val="22"/>
              </w:rPr>
              <w:t>Comunicado Técnico Diario. Coronavirus en el Mundo (COVID-19).</w:t>
            </w:r>
          </w:p>
        </w:tc>
      </w:tr>
      <w:tr w:rsidR="00701265" w:rsidRPr="000D02C7" w14:paraId="22D8BDF5" w14:textId="77777777" w:rsidTr="001735E2">
        <w:trPr>
          <w:trHeight w:val="56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42C3" w14:textId="77777777" w:rsidR="00701265" w:rsidRPr="000D02C7" w:rsidRDefault="00701265" w:rsidP="001735E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0D02C7">
              <w:rPr>
                <w:rFonts w:ascii="Arial Narrow" w:eastAsia="Arial" w:hAnsi="Arial Narrow" w:cs="Arial"/>
                <w:b/>
                <w:sz w:val="22"/>
                <w:szCs w:val="22"/>
              </w:rPr>
              <w:t>Estadísticas actualizadas en México: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70137" w14:textId="77777777" w:rsidR="00701265" w:rsidRPr="000D02C7" w:rsidRDefault="00701265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</w:pPr>
            <w:r w:rsidRPr="000D02C7"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  <w:t>Nivel Mundial:</w:t>
            </w:r>
          </w:p>
          <w:p w14:paraId="296674AC" w14:textId="77777777" w:rsidR="00701265" w:rsidRPr="001017F0" w:rsidRDefault="00701265" w:rsidP="00701265">
            <w:pPr>
              <w:pStyle w:val="Prrafodelista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Arial Narrow" w:eastAsia="Arial" w:hAnsi="Arial Narrow" w:cs="Arial"/>
                <w:b/>
              </w:rPr>
            </w:pPr>
            <w:proofErr w:type="gramStart"/>
            <w:r w:rsidRPr="001017F0">
              <w:rPr>
                <w:rFonts w:ascii="Arial Narrow" w:eastAsia="Arial" w:hAnsi="Arial Narrow" w:cs="Arial"/>
                <w:bCs/>
              </w:rPr>
              <w:t>Total</w:t>
            </w:r>
            <w:proofErr w:type="gramEnd"/>
            <w:r w:rsidRPr="001017F0">
              <w:rPr>
                <w:rFonts w:ascii="Arial Narrow" w:eastAsia="Arial" w:hAnsi="Arial Narrow" w:cs="Arial"/>
                <w:bCs/>
              </w:rPr>
              <w:t xml:space="preserve"> de casos confirmados: </w:t>
            </w:r>
            <w:r>
              <w:rPr>
                <w:rFonts w:ascii="Arial Narrow" w:eastAsia="Arial" w:hAnsi="Arial Narrow" w:cs="Arial"/>
                <w:b/>
              </w:rPr>
              <w:t>4,006,257</w:t>
            </w:r>
            <w:r w:rsidRPr="001017F0">
              <w:rPr>
                <w:rFonts w:ascii="Arial Narrow" w:eastAsia="Arial" w:hAnsi="Arial Narrow" w:cs="Arial"/>
                <w:b/>
              </w:rPr>
              <w:t xml:space="preserve"> </w:t>
            </w:r>
            <w:r w:rsidRPr="001017F0">
              <w:rPr>
                <w:rFonts w:ascii="Arial Narrow" w:eastAsia="Arial" w:hAnsi="Arial Narrow" w:cs="Arial"/>
                <w:bCs/>
              </w:rPr>
              <w:t>(</w:t>
            </w:r>
            <w:r>
              <w:rPr>
                <w:rFonts w:ascii="Arial Narrow" w:eastAsia="Arial" w:hAnsi="Arial Narrow" w:cs="Arial"/>
                <w:bCs/>
              </w:rPr>
              <w:t>88</w:t>
            </w:r>
            <w:r w:rsidRPr="001017F0">
              <w:rPr>
                <w:rFonts w:ascii="Arial Narrow" w:eastAsia="Arial" w:hAnsi="Arial Narrow" w:cs="Arial"/>
                <w:bCs/>
              </w:rPr>
              <w:t>,</w:t>
            </w:r>
            <w:r>
              <w:rPr>
                <w:rFonts w:ascii="Arial Narrow" w:eastAsia="Arial" w:hAnsi="Arial Narrow" w:cs="Arial"/>
                <w:bCs/>
              </w:rPr>
              <w:t>891</w:t>
            </w:r>
            <w:r w:rsidRPr="001017F0">
              <w:rPr>
                <w:rFonts w:ascii="Arial Narrow" w:eastAsia="Arial" w:hAnsi="Arial Narrow" w:cs="Arial"/>
                <w:bCs/>
              </w:rPr>
              <w:t xml:space="preserve"> casos nuevos).</w:t>
            </w:r>
          </w:p>
          <w:p w14:paraId="5A96AE38" w14:textId="77777777" w:rsidR="00701265" w:rsidRPr="001017F0" w:rsidRDefault="00701265" w:rsidP="00701265">
            <w:pPr>
              <w:pStyle w:val="Prrafodelista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Arial Narrow" w:eastAsia="Arial" w:hAnsi="Arial Narrow" w:cs="Arial"/>
                <w:bCs/>
              </w:rPr>
            </w:pPr>
            <w:r w:rsidRPr="001017F0">
              <w:rPr>
                <w:rFonts w:ascii="Arial Narrow" w:eastAsia="Arial" w:hAnsi="Arial Narrow" w:cs="Arial"/>
                <w:bCs/>
              </w:rPr>
              <w:t xml:space="preserve">Total de casos ocurridos los últimos 14 días: </w:t>
            </w:r>
            <w:r w:rsidRPr="001017F0">
              <w:rPr>
                <w:rFonts w:ascii="Arial Narrow" w:eastAsia="Arial" w:hAnsi="Arial Narrow" w:cs="Arial"/>
                <w:b/>
              </w:rPr>
              <w:t>1,</w:t>
            </w:r>
            <w:r>
              <w:rPr>
                <w:rFonts w:ascii="Arial Narrow" w:eastAsia="Arial" w:hAnsi="Arial Narrow" w:cs="Arial"/>
                <w:b/>
              </w:rPr>
              <w:t>130,185</w:t>
            </w:r>
            <w:r w:rsidRPr="001017F0">
              <w:rPr>
                <w:rFonts w:ascii="Arial Narrow" w:eastAsia="Arial" w:hAnsi="Arial Narrow" w:cs="Arial"/>
                <w:bCs/>
              </w:rPr>
              <w:t xml:space="preserve"> (</w:t>
            </w:r>
            <w:r>
              <w:rPr>
                <w:rFonts w:ascii="Arial Narrow" w:eastAsia="Arial" w:hAnsi="Arial Narrow" w:cs="Arial"/>
                <w:bCs/>
              </w:rPr>
              <w:t>19,961 menos</w:t>
            </w:r>
            <w:r w:rsidRPr="001017F0">
              <w:rPr>
                <w:rFonts w:ascii="Arial Narrow" w:eastAsia="Arial" w:hAnsi="Arial Narrow" w:cs="Arial"/>
                <w:bCs/>
              </w:rPr>
              <w:t xml:space="preserve"> que ayer)</w:t>
            </w:r>
          </w:p>
          <w:p w14:paraId="61A67BF9" w14:textId="77777777" w:rsidR="00701265" w:rsidRDefault="00701265" w:rsidP="00701265">
            <w:pPr>
              <w:pStyle w:val="Prrafodelista"/>
              <w:numPr>
                <w:ilvl w:val="0"/>
                <w:numId w:val="4"/>
              </w:numPr>
              <w:spacing w:after="120" w:line="276" w:lineRule="auto"/>
              <w:jc w:val="both"/>
              <w:rPr>
                <w:rFonts w:ascii="Arial Narrow" w:eastAsia="Arial" w:hAnsi="Arial Narrow" w:cs="Arial"/>
                <w:bCs/>
              </w:rPr>
            </w:pPr>
            <w:r w:rsidRPr="001017F0">
              <w:rPr>
                <w:rFonts w:ascii="Arial Narrow" w:eastAsia="Arial" w:hAnsi="Arial Narrow" w:cs="Arial"/>
                <w:bCs/>
              </w:rPr>
              <w:t xml:space="preserve">Tasa de letalidad: </w:t>
            </w:r>
            <w:r w:rsidRPr="001017F0">
              <w:rPr>
                <w:rFonts w:ascii="Arial Narrow" w:eastAsia="Arial" w:hAnsi="Arial Narrow" w:cs="Arial"/>
                <w:b/>
              </w:rPr>
              <w:t>7.0%</w:t>
            </w:r>
            <w:r w:rsidRPr="001017F0">
              <w:rPr>
                <w:rFonts w:ascii="Arial Narrow" w:eastAsia="Arial" w:hAnsi="Arial Narrow" w:cs="Arial"/>
                <w:bCs/>
              </w:rPr>
              <w:t>.</w:t>
            </w:r>
          </w:p>
          <w:p w14:paraId="4AEEF34C" w14:textId="77777777" w:rsidR="00701265" w:rsidRDefault="00905CC2" w:rsidP="0034773C">
            <w:pPr>
              <w:spacing w:after="120" w:line="276" w:lineRule="auto"/>
              <w:jc w:val="center"/>
            </w:pPr>
            <w:r>
              <w:rPr>
                <w:noProof/>
                <w:lang w:val="es-MX"/>
              </w:rPr>
              <w:drawing>
                <wp:inline distT="0" distB="0" distL="0" distR="0" wp14:anchorId="71C34053" wp14:editId="6B71D820">
                  <wp:extent cx="4352925" cy="2335043"/>
                  <wp:effectExtent l="0" t="0" r="0" b="8255"/>
                  <wp:docPr id="8" name="Imagen 8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298" cy="2348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F87D68" w14:textId="77777777" w:rsidR="003C2316" w:rsidRPr="000D02C7" w:rsidRDefault="003C2316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</w:p>
          <w:p w14:paraId="16EFCD9C" w14:textId="77777777" w:rsidR="00701265" w:rsidRPr="000D02C7" w:rsidRDefault="00701265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</w:pPr>
            <w:r w:rsidRPr="000D02C7"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  <w:t>México:</w:t>
            </w:r>
          </w:p>
          <w:p w14:paraId="08AF9073" w14:textId="77777777" w:rsidR="00701265" w:rsidRPr="00602F98" w:rsidRDefault="00701265" w:rsidP="00701265">
            <w:pPr>
              <w:pStyle w:val="Prrafodelista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 Narrow" w:hAnsi="Arial Narrow" w:cs="Arial"/>
              </w:rPr>
            </w:pPr>
            <w:r w:rsidRPr="00602F98">
              <w:rPr>
                <w:rFonts w:ascii="Arial Narrow" w:eastAsia="Arial" w:hAnsi="Arial Narrow" w:cs="Arial"/>
                <w:bCs/>
              </w:rPr>
              <w:t xml:space="preserve">Total de casos confirmados: </w:t>
            </w:r>
            <w:r w:rsidR="003C2316">
              <w:rPr>
                <w:rFonts w:ascii="Arial Narrow" w:eastAsia="Arial" w:hAnsi="Arial Narrow" w:cs="Arial"/>
                <w:b/>
              </w:rPr>
              <w:t>36,327</w:t>
            </w:r>
            <w:r w:rsidRPr="00602F98">
              <w:rPr>
                <w:rFonts w:ascii="Arial Narrow" w:eastAsia="Arial" w:hAnsi="Arial Narrow" w:cs="Arial"/>
                <w:b/>
                <w:bCs/>
              </w:rPr>
              <w:t xml:space="preserve"> </w:t>
            </w:r>
            <w:r w:rsidRPr="00602F98">
              <w:rPr>
                <w:rFonts w:ascii="Arial Narrow" w:eastAsia="Arial" w:hAnsi="Arial Narrow" w:cs="Arial"/>
                <w:bCs/>
              </w:rPr>
              <w:t>(1,</w:t>
            </w:r>
            <w:r w:rsidR="003C2316">
              <w:rPr>
                <w:rFonts w:ascii="Arial Narrow" w:eastAsia="Arial" w:hAnsi="Arial Narrow" w:cs="Arial"/>
                <w:bCs/>
              </w:rPr>
              <w:t>305</w:t>
            </w:r>
            <w:r w:rsidRPr="00602F98">
              <w:rPr>
                <w:rFonts w:ascii="Arial Narrow" w:eastAsia="Arial" w:hAnsi="Arial Narrow" w:cs="Arial"/>
                <w:bCs/>
              </w:rPr>
              <w:t xml:space="preserve"> + que ayer).</w:t>
            </w:r>
          </w:p>
          <w:p w14:paraId="524536C9" w14:textId="77777777" w:rsidR="00701265" w:rsidRPr="00602F98" w:rsidRDefault="00701265" w:rsidP="00701265">
            <w:pPr>
              <w:pStyle w:val="Prrafodelista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 Narrow" w:hAnsi="Arial Narrow" w:cs="Arial"/>
              </w:rPr>
            </w:pPr>
            <w:r w:rsidRPr="00602F98">
              <w:rPr>
                <w:rFonts w:ascii="Arial Narrow" w:eastAsia="Arial" w:hAnsi="Arial Narrow" w:cs="Arial"/>
                <w:bCs/>
              </w:rPr>
              <w:t xml:space="preserve">Total de personas sospechosas: </w:t>
            </w:r>
            <w:r w:rsidR="003C2316">
              <w:rPr>
                <w:rFonts w:ascii="Arial Narrow" w:eastAsia="Arial" w:hAnsi="Arial Narrow" w:cs="Arial"/>
                <w:b/>
              </w:rPr>
              <w:t>20,991</w:t>
            </w:r>
            <w:r w:rsidRPr="00602F98">
              <w:rPr>
                <w:rFonts w:ascii="Arial Narrow" w:eastAsia="Arial" w:hAnsi="Arial Narrow" w:cs="Arial"/>
                <w:bCs/>
              </w:rPr>
              <w:t xml:space="preserve"> (</w:t>
            </w:r>
            <w:r w:rsidR="003C2316">
              <w:rPr>
                <w:rFonts w:ascii="Arial Narrow" w:eastAsia="Arial" w:hAnsi="Arial Narrow" w:cs="Arial"/>
                <w:bCs/>
              </w:rPr>
              <w:t>1,012</w:t>
            </w:r>
            <w:r w:rsidRPr="00602F98">
              <w:rPr>
                <w:rFonts w:ascii="Arial Narrow" w:eastAsia="Arial" w:hAnsi="Arial Narrow" w:cs="Arial"/>
                <w:bCs/>
              </w:rPr>
              <w:t xml:space="preserve"> </w:t>
            </w:r>
            <w:r w:rsidR="003C2316">
              <w:rPr>
                <w:rFonts w:ascii="Arial Narrow" w:eastAsia="Arial" w:hAnsi="Arial Narrow" w:cs="Arial"/>
                <w:bCs/>
              </w:rPr>
              <w:t>+</w:t>
            </w:r>
            <w:r w:rsidRPr="00602F98">
              <w:rPr>
                <w:rFonts w:ascii="Arial Narrow" w:eastAsia="Arial" w:hAnsi="Arial Narrow" w:cs="Arial"/>
                <w:bCs/>
              </w:rPr>
              <w:t xml:space="preserve"> que ayer).</w:t>
            </w:r>
          </w:p>
          <w:p w14:paraId="4453A0E6" w14:textId="77777777" w:rsidR="00701265" w:rsidRPr="00602F98" w:rsidRDefault="00701265" w:rsidP="00701265">
            <w:pPr>
              <w:pStyle w:val="Prrafodelista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 Narrow" w:hAnsi="Arial Narrow" w:cs="Arial"/>
              </w:rPr>
            </w:pPr>
            <w:r w:rsidRPr="00602F98">
              <w:rPr>
                <w:rFonts w:ascii="Arial Narrow" w:eastAsia="Arial" w:hAnsi="Arial Narrow" w:cs="Arial"/>
                <w:bCs/>
              </w:rPr>
              <w:t xml:space="preserve">Total de casos activos: </w:t>
            </w:r>
            <w:r w:rsidR="003C2316">
              <w:rPr>
                <w:rFonts w:ascii="Arial Narrow" w:eastAsia="Arial" w:hAnsi="Arial Narrow" w:cs="Arial"/>
                <w:b/>
              </w:rPr>
              <w:t>8,288</w:t>
            </w:r>
            <w:r w:rsidRPr="00602F98">
              <w:rPr>
                <w:rFonts w:ascii="Arial Narrow" w:eastAsia="Arial" w:hAnsi="Arial Narrow" w:cs="Arial"/>
                <w:bCs/>
              </w:rPr>
              <w:t xml:space="preserve"> (</w:t>
            </w:r>
            <w:r w:rsidR="003C2316">
              <w:rPr>
                <w:rFonts w:ascii="Arial Narrow" w:eastAsia="Arial" w:hAnsi="Arial Narrow" w:cs="Arial"/>
                <w:bCs/>
              </w:rPr>
              <w:t>169 menos</w:t>
            </w:r>
            <w:r w:rsidRPr="00602F98">
              <w:rPr>
                <w:rFonts w:ascii="Arial Narrow" w:eastAsia="Arial" w:hAnsi="Arial Narrow" w:cs="Arial"/>
                <w:bCs/>
              </w:rPr>
              <w:t xml:space="preserve"> que ayer)</w:t>
            </w:r>
          </w:p>
          <w:p w14:paraId="57507643" w14:textId="77777777" w:rsidR="00701265" w:rsidRPr="00602F98" w:rsidRDefault="00701265" w:rsidP="00701265">
            <w:pPr>
              <w:pStyle w:val="Prrafodelista"/>
              <w:numPr>
                <w:ilvl w:val="0"/>
                <w:numId w:val="5"/>
              </w:numPr>
              <w:spacing w:after="120" w:line="276" w:lineRule="auto"/>
              <w:jc w:val="both"/>
              <w:rPr>
                <w:rFonts w:ascii="Arial Narrow" w:eastAsia="Arial" w:hAnsi="Arial Narrow" w:cs="Arial"/>
                <w:bCs/>
              </w:rPr>
            </w:pPr>
            <w:r w:rsidRPr="00602F98">
              <w:rPr>
                <w:rFonts w:ascii="Arial Narrow" w:eastAsia="Arial" w:hAnsi="Arial Narrow" w:cs="Arial"/>
                <w:bCs/>
              </w:rPr>
              <w:t xml:space="preserve">Total de defunciones: </w:t>
            </w:r>
            <w:r w:rsidR="003C2316">
              <w:rPr>
                <w:rFonts w:ascii="Arial Narrow" w:eastAsia="Arial" w:hAnsi="Arial Narrow" w:cs="Arial"/>
                <w:b/>
              </w:rPr>
              <w:t>3,573</w:t>
            </w:r>
            <w:r w:rsidRPr="00602F98">
              <w:rPr>
                <w:rFonts w:ascii="Arial Narrow" w:eastAsia="Arial" w:hAnsi="Arial Narrow" w:cs="Arial"/>
                <w:bCs/>
              </w:rPr>
              <w:t xml:space="preserve"> (1</w:t>
            </w:r>
            <w:r w:rsidR="003C2316">
              <w:rPr>
                <w:rFonts w:ascii="Arial Narrow" w:eastAsia="Arial" w:hAnsi="Arial Narrow" w:cs="Arial"/>
                <w:bCs/>
              </w:rPr>
              <w:t>08</w:t>
            </w:r>
            <w:r w:rsidRPr="00602F98">
              <w:rPr>
                <w:rFonts w:ascii="Arial Narrow" w:eastAsia="Arial" w:hAnsi="Arial Narrow" w:cs="Arial"/>
                <w:bCs/>
              </w:rPr>
              <w:t xml:space="preserve"> + que ayer).</w:t>
            </w:r>
          </w:p>
          <w:p w14:paraId="44D5D8F5" w14:textId="77777777" w:rsidR="00701265" w:rsidRPr="000D02C7" w:rsidRDefault="003C2316" w:rsidP="001735E2">
            <w:pPr>
              <w:spacing w:after="120" w:line="276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noProof/>
                <w:lang w:val="es-MX"/>
              </w:rPr>
              <w:lastRenderedPageBreak/>
              <w:drawing>
                <wp:inline distT="0" distB="0" distL="0" distR="0" wp14:anchorId="73517BB2" wp14:editId="1803514E">
                  <wp:extent cx="4619625" cy="2432919"/>
                  <wp:effectExtent l="0" t="0" r="0" b="5715"/>
                  <wp:docPr id="6" name="Imagen 6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564" cy="244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F10911" w14:textId="77777777" w:rsidR="00701265" w:rsidRPr="000D02C7" w:rsidRDefault="00701265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</w:pPr>
            <w:r w:rsidRPr="000D02C7"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  <w:t xml:space="preserve">Ciudad de México: </w:t>
            </w:r>
          </w:p>
          <w:p w14:paraId="6BF5B7C0" w14:textId="77777777" w:rsidR="00701265" w:rsidRPr="00602F98" w:rsidRDefault="00701265" w:rsidP="00701265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Arial Narrow" w:eastAsia="Arial" w:hAnsi="Arial Narrow" w:cs="Arial"/>
                <w:bCs/>
              </w:rPr>
            </w:pPr>
            <w:r w:rsidRPr="00602F98">
              <w:rPr>
                <w:rFonts w:ascii="Arial Narrow" w:eastAsia="Arial" w:hAnsi="Arial Narrow" w:cs="Arial"/>
                <w:bCs/>
              </w:rPr>
              <w:t>Casos confirmados acumulados</w:t>
            </w:r>
            <w:r w:rsidRPr="00602F98">
              <w:rPr>
                <w:rFonts w:ascii="Arial Narrow" w:eastAsia="Arial" w:hAnsi="Arial Narrow" w:cs="Arial"/>
                <w:b/>
              </w:rPr>
              <w:t xml:space="preserve"> </w:t>
            </w:r>
            <w:r w:rsidR="000E44CD">
              <w:rPr>
                <w:rFonts w:ascii="Arial Narrow" w:eastAsia="Arial" w:hAnsi="Arial Narrow" w:cs="Arial"/>
                <w:b/>
              </w:rPr>
              <w:t>9,983</w:t>
            </w:r>
            <w:r w:rsidRPr="00602F98">
              <w:rPr>
                <w:rFonts w:ascii="Arial Narrow" w:eastAsia="Arial" w:hAnsi="Arial Narrow" w:cs="Arial"/>
                <w:b/>
              </w:rPr>
              <w:t xml:space="preserve"> </w:t>
            </w:r>
            <w:r w:rsidRPr="00602F98">
              <w:rPr>
                <w:rFonts w:ascii="Arial Narrow" w:eastAsia="Arial" w:hAnsi="Arial Narrow" w:cs="Arial"/>
                <w:bCs/>
              </w:rPr>
              <w:t>(</w:t>
            </w:r>
            <w:r w:rsidR="000E44CD">
              <w:rPr>
                <w:rFonts w:ascii="Arial Narrow" w:eastAsia="Arial" w:hAnsi="Arial Narrow" w:cs="Arial"/>
                <w:bCs/>
              </w:rPr>
              <w:t>246</w:t>
            </w:r>
            <w:r w:rsidRPr="00602F98">
              <w:rPr>
                <w:rFonts w:ascii="Arial Narrow" w:eastAsia="Arial" w:hAnsi="Arial Narrow" w:cs="Arial"/>
                <w:bCs/>
              </w:rPr>
              <w:t xml:space="preserve"> + que ayer)</w:t>
            </w:r>
          </w:p>
          <w:p w14:paraId="4C973424" w14:textId="77777777" w:rsidR="00701265" w:rsidRPr="00602F98" w:rsidRDefault="000E44CD" w:rsidP="00701265">
            <w:pPr>
              <w:pStyle w:val="Prrafodelista"/>
              <w:numPr>
                <w:ilvl w:val="0"/>
                <w:numId w:val="6"/>
              </w:numPr>
              <w:spacing w:after="120" w:line="276" w:lineRule="auto"/>
              <w:jc w:val="both"/>
              <w:rPr>
                <w:rFonts w:ascii="Arial Narrow" w:eastAsia="Arial" w:hAnsi="Arial Narrow" w:cs="Arial"/>
                <w:bCs/>
              </w:rPr>
            </w:pPr>
            <w:r>
              <w:rPr>
                <w:rFonts w:ascii="Arial Narrow" w:eastAsia="Arial" w:hAnsi="Arial Narrow" w:cs="Arial"/>
                <w:bCs/>
              </w:rPr>
              <w:t xml:space="preserve">Defunciones: </w:t>
            </w:r>
            <w:r w:rsidRPr="0034773C">
              <w:rPr>
                <w:rFonts w:ascii="Arial Narrow" w:eastAsia="Arial" w:hAnsi="Arial Narrow" w:cs="Arial"/>
                <w:b/>
              </w:rPr>
              <w:t>819</w:t>
            </w:r>
            <w:r w:rsidR="00701265" w:rsidRPr="00602F98">
              <w:rPr>
                <w:rFonts w:ascii="Arial Narrow" w:eastAsia="Arial" w:hAnsi="Arial Narrow" w:cs="Arial"/>
                <w:bCs/>
              </w:rPr>
              <w:t xml:space="preserve"> (2</w:t>
            </w:r>
            <w:r>
              <w:rPr>
                <w:rFonts w:ascii="Arial Narrow" w:eastAsia="Arial" w:hAnsi="Arial Narrow" w:cs="Arial"/>
                <w:bCs/>
              </w:rPr>
              <w:t>3</w:t>
            </w:r>
            <w:r w:rsidR="00701265" w:rsidRPr="00602F98">
              <w:rPr>
                <w:rFonts w:ascii="Arial Narrow" w:eastAsia="Arial" w:hAnsi="Arial Narrow" w:cs="Arial"/>
                <w:bCs/>
              </w:rPr>
              <w:t xml:space="preserve"> + que ayer). </w:t>
            </w:r>
          </w:p>
          <w:p w14:paraId="5FB8186D" w14:textId="77777777" w:rsidR="00701265" w:rsidRPr="000D02C7" w:rsidRDefault="003C2316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Estamos en el día 50</w:t>
            </w:r>
            <w:r w:rsidR="00701265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a partir de que inició la Jornada Nacional de Sana Distancia.</w:t>
            </w:r>
          </w:p>
          <w:p w14:paraId="348DF526" w14:textId="177D64FE" w:rsidR="00701265" w:rsidRDefault="00701265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 w:rsidRPr="000D02C7">
              <w:rPr>
                <w:rFonts w:ascii="Arial Narrow" w:eastAsia="Arial" w:hAnsi="Arial Narrow" w:cs="Arial"/>
                <w:bCs/>
                <w:sz w:val="22"/>
                <w:szCs w:val="22"/>
              </w:rPr>
              <w:t>La Ciudad de México</w:t>
            </w:r>
            <w:r w:rsidR="003C2316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es la entidad que tiene el mayor número de casos activos de la pandemia en el país</w:t>
            </w:r>
            <w:r w:rsidR="00905CC2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, detalló José Luis </w:t>
            </w:r>
            <w:proofErr w:type="spellStart"/>
            <w:r w:rsidR="00905CC2">
              <w:rPr>
                <w:rFonts w:ascii="Arial Narrow" w:eastAsia="Arial" w:hAnsi="Arial Narrow" w:cs="Arial"/>
                <w:bCs/>
                <w:sz w:val="22"/>
                <w:szCs w:val="22"/>
              </w:rPr>
              <w:t>Alomía</w:t>
            </w:r>
            <w:proofErr w:type="spellEnd"/>
            <w:r w:rsidR="00905CC2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, </w:t>
            </w:r>
            <w:r w:rsidR="0034773C">
              <w:rPr>
                <w:rFonts w:ascii="Arial Narrow" w:eastAsia="Arial" w:hAnsi="Arial Narrow" w:cs="Arial"/>
                <w:bCs/>
                <w:sz w:val="22"/>
                <w:szCs w:val="22"/>
              </w:rPr>
              <w:t>D</w:t>
            </w:r>
            <w:r w:rsidR="00905CC2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irector </w:t>
            </w:r>
            <w:r w:rsidR="0034773C">
              <w:rPr>
                <w:rFonts w:ascii="Arial Narrow" w:eastAsia="Arial" w:hAnsi="Arial Narrow" w:cs="Arial"/>
                <w:bCs/>
                <w:sz w:val="22"/>
                <w:szCs w:val="22"/>
              </w:rPr>
              <w:t>G</w:t>
            </w:r>
            <w:r w:rsidR="00905CC2">
              <w:rPr>
                <w:rFonts w:ascii="Arial Narrow" w:eastAsia="Arial" w:hAnsi="Arial Narrow" w:cs="Arial"/>
                <w:bCs/>
                <w:sz w:val="22"/>
                <w:szCs w:val="22"/>
              </w:rPr>
              <w:t>eneral de Epidemiología.</w:t>
            </w:r>
          </w:p>
          <w:p w14:paraId="45028DB1" w14:textId="77777777" w:rsidR="003C2316" w:rsidRDefault="003C2316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noProof/>
                <w:lang w:val="es-MX"/>
              </w:rPr>
              <w:drawing>
                <wp:inline distT="0" distB="0" distL="0" distR="0" wp14:anchorId="5252D7B4" wp14:editId="4F2A0156">
                  <wp:extent cx="4610100" cy="2498497"/>
                  <wp:effectExtent l="0" t="0" r="0" b="0"/>
                  <wp:docPr id="7" name="Imagen 7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372" cy="2503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02A5CE" w14:textId="77777777" w:rsidR="003C2316" w:rsidRDefault="00905CC2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El total de camas de Infección Respiratoria Aguda Grave (IRAG) disponibles a nivel nacional es de 13,529 y 7,057 están ocupadas, dijo José Luis </w:t>
            </w:r>
            <w:proofErr w:type="spellStart"/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Alomía</w:t>
            </w:r>
            <w:proofErr w:type="spellEnd"/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.</w:t>
            </w:r>
          </w:p>
          <w:p w14:paraId="169F95E6" w14:textId="77777777" w:rsidR="003C2316" w:rsidRDefault="00E76329" w:rsidP="0034773C">
            <w:pPr>
              <w:spacing w:after="120" w:line="276" w:lineRule="auto"/>
              <w:jc w:val="center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noProof/>
                <w:lang w:val="es-MX"/>
              </w:rPr>
              <w:drawing>
                <wp:inline distT="0" distB="0" distL="0" distR="0" wp14:anchorId="19821E21" wp14:editId="2FCAA252">
                  <wp:extent cx="4581525" cy="2506444"/>
                  <wp:effectExtent l="0" t="0" r="0" b="8255"/>
                  <wp:docPr id="10" name="Imagen 10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9641" cy="2510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EB4B92" w14:textId="77777777" w:rsidR="00E76329" w:rsidRDefault="00E76329" w:rsidP="00E76329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 w:rsidRPr="00E76329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México 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tiene </w:t>
            </w:r>
            <w:r w:rsidRPr="00E76329">
              <w:rPr>
                <w:rFonts w:ascii="Arial Narrow" w:eastAsia="Arial" w:hAnsi="Arial Narrow" w:cs="Arial"/>
                <w:bCs/>
                <w:sz w:val="22"/>
                <w:szCs w:val="22"/>
              </w:rPr>
              <w:t>la repercusión de una muy grave y larga epidemia de enfermedades crónicas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(hipertensión, diabetes, obesidad y tabaquismo)</w:t>
            </w:r>
            <w:r w:rsidRPr="00E76329">
              <w:rPr>
                <w:rFonts w:ascii="Arial Narrow" w:eastAsia="Arial" w:hAnsi="Arial Narrow" w:cs="Arial"/>
                <w:bCs/>
                <w:sz w:val="22"/>
                <w:szCs w:val="22"/>
              </w:rPr>
              <w:t>, lo cual lleva a que personas menores de 60 años ocupen una prop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orción importante de mortalidad</w:t>
            </w:r>
            <w:r w:rsidRPr="00E76329">
              <w:rPr>
                <w:rFonts w:ascii="Arial Narrow" w:eastAsia="Arial" w:hAnsi="Arial Narrow" w:cs="Arial"/>
                <w:bCs/>
                <w:sz w:val="22"/>
                <w:szCs w:val="22"/>
              </w:rPr>
              <w:t>, afirmó</w:t>
            </w: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el Dr. Hugo López Gatell.</w:t>
            </w:r>
          </w:p>
          <w:p w14:paraId="12BEFE74" w14:textId="77777777" w:rsidR="00E76329" w:rsidRDefault="00E76329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noProof/>
                <w:lang w:val="es-MX"/>
              </w:rPr>
              <w:drawing>
                <wp:inline distT="0" distB="0" distL="0" distR="0" wp14:anchorId="0BC1DE76" wp14:editId="278010F6">
                  <wp:extent cx="4572000" cy="2426208"/>
                  <wp:effectExtent l="0" t="0" r="0" b="0"/>
                  <wp:docPr id="11" name="Imagen 11" descr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386" cy="2431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5A8F2A" w14:textId="692A55E6" w:rsidR="003C2316" w:rsidRDefault="000E44CD" w:rsidP="001735E2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En la conferencia de prensa vespertina, se presentaron los casos más </w:t>
            </w:r>
            <w:proofErr w:type="gramStart"/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significativos</w:t>
            </w:r>
            <w:proofErr w:type="gramEnd"/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aunque se explicó que se habían realizado p</w:t>
            </w:r>
            <w:r w:rsidR="00FF46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redicciones para 47 ciudades y comunidades superiores a 800 </w:t>
            </w:r>
            <w:r w:rsidR="0034773C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mil </w:t>
            </w:r>
            <w:r w:rsidR="00FF46C0"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habitantes en el país. </w:t>
            </w:r>
          </w:p>
          <w:p w14:paraId="7FDB63B3" w14:textId="77777777" w:rsidR="0034773C" w:rsidRDefault="0034773C" w:rsidP="00561278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</w:rPr>
            </w:pPr>
          </w:p>
          <w:p w14:paraId="6F32FDCB" w14:textId="3C14AA70" w:rsidR="00561278" w:rsidRPr="007127F2" w:rsidRDefault="00561278" w:rsidP="00561278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</w:rPr>
            </w:pPr>
            <w:r w:rsidRPr="007127F2">
              <w:rPr>
                <w:rFonts w:ascii="Arial Narrow" w:eastAsia="Arial" w:hAnsi="Arial Narrow" w:cs="Arial"/>
                <w:b/>
              </w:rPr>
              <w:t>Contagios del personal médico.</w:t>
            </w:r>
          </w:p>
          <w:p w14:paraId="19009926" w14:textId="77777777" w:rsidR="003C2316" w:rsidRDefault="007127F2" w:rsidP="007127F2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El Dr. López Gatell indicó que existen 8,544 casos acumulados de contagios en personal médico y 8,767 casos sospechosos. Explicó que de ellos 47% son enfermeras y enfermeros, 37% médicos y médicas, 19% otros profesionistas de la salud, 2% laboratoristas y 1% dentistas.</w:t>
            </w:r>
          </w:p>
          <w:p w14:paraId="123F5626" w14:textId="0C89EEC0" w:rsidR="0034773C" w:rsidRPr="000D02C7" w:rsidRDefault="0034773C" w:rsidP="007127F2">
            <w:pPr>
              <w:spacing w:after="120" w:line="276" w:lineRule="auto"/>
              <w:jc w:val="both"/>
              <w:rPr>
                <w:rFonts w:ascii="Arial Narrow" w:eastAsia="Arial" w:hAnsi="Arial Narrow" w:cs="Arial"/>
                <w:bCs/>
                <w:sz w:val="22"/>
                <w:szCs w:val="22"/>
              </w:rPr>
            </w:pPr>
            <w:proofErr w:type="gramStart"/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>Asimismo</w:t>
            </w:r>
            <w:proofErr w:type="gramEnd"/>
            <w:r>
              <w:rPr>
                <w:rFonts w:ascii="Arial Narrow" w:eastAsia="Arial" w:hAnsi="Arial Narrow" w:cs="Arial"/>
                <w:bCs/>
                <w:sz w:val="22"/>
                <w:szCs w:val="22"/>
              </w:rPr>
              <w:t xml:space="preserve"> señaló que han fallecido 111 personas del sector salud por COVID19.</w:t>
            </w:r>
          </w:p>
        </w:tc>
      </w:tr>
      <w:tr w:rsidR="00701265" w:rsidRPr="000D02C7" w14:paraId="47AC07B7" w14:textId="77777777" w:rsidTr="001735E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24C9" w14:textId="77777777" w:rsidR="00701265" w:rsidRPr="000D02C7" w:rsidRDefault="00701265" w:rsidP="001735E2">
            <w:pPr>
              <w:spacing w:line="276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D02C7">
              <w:rPr>
                <w:rFonts w:ascii="Arial Narrow" w:eastAsia="Arial" w:hAnsi="Arial Narrow" w:cs="Arial"/>
                <w:b/>
                <w:sz w:val="22"/>
                <w:szCs w:val="22"/>
              </w:rPr>
              <w:lastRenderedPageBreak/>
              <w:t>Anuncios destacados: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03444" w14:textId="77777777" w:rsidR="00701265" w:rsidRPr="000D02C7" w:rsidRDefault="00701265" w:rsidP="001735E2">
            <w:pPr>
              <w:spacing w:line="276" w:lineRule="auto"/>
              <w:jc w:val="both"/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</w:pPr>
            <w:bookmarkStart w:id="2" w:name="_heading=h.99mneb1ud1dd"/>
            <w:bookmarkEnd w:id="2"/>
            <w:r w:rsidRPr="000D02C7">
              <w:rPr>
                <w:rFonts w:ascii="Arial Narrow" w:eastAsia="Arial" w:hAnsi="Arial Narrow" w:cs="Arial"/>
                <w:b/>
                <w:bCs/>
                <w:sz w:val="22"/>
                <w:szCs w:val="22"/>
                <w:u w:val="single"/>
              </w:rPr>
              <w:t>Sesión de preguntas y respuestas:</w:t>
            </w:r>
          </w:p>
          <w:p w14:paraId="4191F3B6" w14:textId="77777777" w:rsidR="00701265" w:rsidRPr="000D02C7" w:rsidRDefault="00701265" w:rsidP="001735E2">
            <w:pPr>
              <w:spacing w:line="276" w:lineRule="auto"/>
              <w:jc w:val="both"/>
              <w:rPr>
                <w:rFonts w:ascii="Arial Narrow" w:eastAsia="Arial" w:hAnsi="Arial Narrow" w:cs="Arial"/>
                <w:sz w:val="22"/>
                <w:szCs w:val="22"/>
                <w:u w:val="single"/>
              </w:rPr>
            </w:pPr>
          </w:p>
          <w:p w14:paraId="173F733F" w14:textId="77777777" w:rsidR="00701265" w:rsidRDefault="000E44CD" w:rsidP="00701265">
            <w:pPr>
              <w:pStyle w:val="Prrafodelista"/>
              <w:numPr>
                <w:ilvl w:val="1"/>
                <w:numId w:val="2"/>
              </w:numPr>
              <w:spacing w:line="276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Continúan agresiones contra personal médico.</w:t>
            </w:r>
          </w:p>
          <w:p w14:paraId="78350177" w14:textId="77777777" w:rsidR="000E44CD" w:rsidRDefault="000E44CD" w:rsidP="007127F2">
            <w:pPr>
              <w:spacing w:line="276" w:lineRule="auto"/>
              <w:jc w:val="both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 xml:space="preserve">El Dr. López Gatell condenó nuevamente las agresiones al personal médico en distintas partes del país. Indicó que se tiene que revisar caso por caso en las entidades federativas, </w:t>
            </w:r>
            <w:r w:rsidR="007127F2">
              <w:rPr>
                <w:rFonts w:ascii="Arial Narrow" w:eastAsia="Arial" w:hAnsi="Arial Narrow" w:cs="Arial"/>
              </w:rPr>
              <w:t xml:space="preserve">a fin de utilizar </w:t>
            </w:r>
            <w:r w:rsidR="00561278">
              <w:rPr>
                <w:rFonts w:ascii="Arial Narrow" w:eastAsia="Arial" w:hAnsi="Arial Narrow" w:cs="Arial"/>
              </w:rPr>
              <w:t>el m</w:t>
            </w:r>
            <w:r>
              <w:rPr>
                <w:rFonts w:ascii="Arial Narrow" w:eastAsia="Arial" w:hAnsi="Arial Narrow" w:cs="Arial"/>
              </w:rPr>
              <w:t xml:space="preserve">arco legal </w:t>
            </w:r>
            <w:r w:rsidR="007127F2">
              <w:rPr>
                <w:rFonts w:ascii="Arial Narrow" w:eastAsia="Arial" w:hAnsi="Arial Narrow" w:cs="Arial"/>
              </w:rPr>
              <w:t xml:space="preserve">para </w:t>
            </w:r>
            <w:r>
              <w:rPr>
                <w:rFonts w:ascii="Arial Narrow" w:eastAsia="Arial" w:hAnsi="Arial Narrow" w:cs="Arial"/>
              </w:rPr>
              <w:t xml:space="preserve">disuadir las agresiones al personal médico. </w:t>
            </w:r>
          </w:p>
          <w:p w14:paraId="24861A4F" w14:textId="77777777" w:rsidR="007127F2" w:rsidRPr="000E44CD" w:rsidRDefault="007127F2" w:rsidP="007127F2">
            <w:pPr>
              <w:spacing w:line="276" w:lineRule="auto"/>
              <w:jc w:val="both"/>
              <w:rPr>
                <w:rFonts w:ascii="Arial Narrow" w:eastAsia="Arial" w:hAnsi="Arial Narrow" w:cs="Arial"/>
              </w:rPr>
            </w:pPr>
          </w:p>
        </w:tc>
      </w:tr>
      <w:tr w:rsidR="00701265" w:rsidRPr="000D02C7" w14:paraId="2714D96A" w14:textId="77777777" w:rsidTr="001735E2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C81B" w14:textId="77777777" w:rsidR="00701265" w:rsidRPr="000D02C7" w:rsidRDefault="00701265" w:rsidP="001735E2">
            <w:pPr>
              <w:spacing w:line="276" w:lineRule="auto"/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0D02C7">
              <w:rPr>
                <w:rFonts w:ascii="Arial Narrow" w:eastAsia="Arial" w:hAnsi="Arial Narrow" w:cs="Arial"/>
                <w:b/>
                <w:sz w:val="22"/>
                <w:szCs w:val="22"/>
              </w:rPr>
              <w:t>Participaron: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785E" w14:textId="77777777" w:rsidR="00701265" w:rsidRPr="000D02C7" w:rsidRDefault="00701265" w:rsidP="000E44CD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hAnsi="Arial Narrow" w:cs="Arial"/>
              </w:rPr>
            </w:pPr>
            <w:r w:rsidRPr="000D02C7">
              <w:rPr>
                <w:rFonts w:ascii="Arial Narrow" w:eastAsia="Arial" w:hAnsi="Arial Narrow" w:cs="Arial"/>
              </w:rPr>
              <w:t>Dr. Hugo López-Gatell Ramírez, Subsecretario de Prevención y Promoción de la Salud de la Secretaría de Salud.</w:t>
            </w:r>
          </w:p>
          <w:p w14:paraId="0A8B8FB5" w14:textId="77777777" w:rsidR="00701265" w:rsidRPr="000E44CD" w:rsidRDefault="000E44CD" w:rsidP="000E44CD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="Arial Narrow" w:hAnsi="Arial Narrow"/>
                <w:bCs/>
                <w:color w:val="14171A"/>
              </w:rPr>
            </w:pPr>
            <w:r w:rsidRPr="00110B3E">
              <w:rPr>
                <w:rFonts w:ascii="Arial Narrow" w:hAnsi="Arial Narrow"/>
                <w:bCs/>
                <w:color w:val="14171A"/>
              </w:rPr>
              <w:t xml:space="preserve">Dr. José Luis </w:t>
            </w:r>
            <w:proofErr w:type="spellStart"/>
            <w:r w:rsidRPr="00110B3E">
              <w:rPr>
                <w:rFonts w:ascii="Arial Narrow" w:hAnsi="Arial Narrow"/>
                <w:bCs/>
                <w:color w:val="14171A"/>
              </w:rPr>
              <w:t>Alomía</w:t>
            </w:r>
            <w:proofErr w:type="spellEnd"/>
            <w:r w:rsidRPr="00110B3E">
              <w:rPr>
                <w:rFonts w:ascii="Arial Narrow" w:hAnsi="Arial Narrow"/>
                <w:bCs/>
                <w:color w:val="14171A"/>
              </w:rPr>
              <w:t xml:space="preserve">, Director General de Epidemiología de la Secretaría de Salud. </w:t>
            </w:r>
          </w:p>
        </w:tc>
      </w:tr>
    </w:tbl>
    <w:p w14:paraId="65E575FF" w14:textId="77777777" w:rsidR="00701265" w:rsidRPr="00C40BEB" w:rsidRDefault="00701265" w:rsidP="00701265">
      <w:pPr>
        <w:rPr>
          <w:rFonts w:ascii="Arial" w:eastAsia="Arial" w:hAnsi="Arial" w:cs="Arial"/>
          <w:sz w:val="22"/>
          <w:szCs w:val="22"/>
        </w:rPr>
      </w:pPr>
    </w:p>
    <w:p w14:paraId="2EECA436" w14:textId="77777777" w:rsidR="00701265" w:rsidRPr="00C40BEB" w:rsidRDefault="00701265" w:rsidP="00701265">
      <w:pPr>
        <w:tabs>
          <w:tab w:val="left" w:pos="86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476466A9" w14:textId="77777777" w:rsidR="00AD1E12" w:rsidRDefault="00AD1E12"/>
    <w:sectPr w:rsidR="00AD1E12">
      <w:headerReference w:type="default" r:id="rId12"/>
      <w:footerReference w:type="default" r:id="rId13"/>
      <w:pgSz w:w="12240" w:h="15840"/>
      <w:pgMar w:top="1440" w:right="1440" w:bottom="1440" w:left="1440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F17701" w14:textId="77777777" w:rsidR="00013D92" w:rsidRDefault="00013D92" w:rsidP="000E44CD">
      <w:r>
        <w:separator/>
      </w:r>
    </w:p>
  </w:endnote>
  <w:endnote w:type="continuationSeparator" w:id="0">
    <w:p w14:paraId="5225583C" w14:textId="77777777" w:rsidR="00013D92" w:rsidRDefault="00013D92" w:rsidP="000E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0890D" w14:textId="77777777" w:rsidR="00610A52" w:rsidRDefault="000E44CD" w:rsidP="00610A52">
    <w:pPr>
      <w:tabs>
        <w:tab w:val="center" w:pos="4419"/>
        <w:tab w:val="right" w:pos="8838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DMH</w:t>
    </w:r>
    <w:r w:rsidR="00C31DD3">
      <w:rPr>
        <w:rFonts w:ascii="Arial" w:hAnsi="Arial" w:cs="Arial"/>
        <w:sz w:val="16"/>
        <w:szCs w:val="16"/>
      </w:rPr>
      <w:t>-DEAEE</w:t>
    </w:r>
  </w:p>
  <w:p w14:paraId="0156A4D3" w14:textId="77777777" w:rsidR="00610A52" w:rsidRPr="00446347" w:rsidRDefault="00C31DD3" w:rsidP="00610A52">
    <w:pPr>
      <w:tabs>
        <w:tab w:val="center" w:pos="4419"/>
        <w:tab w:val="right" w:pos="8838"/>
      </w:tabs>
      <w:jc w:val="right"/>
      <w:rPr>
        <w:rFonts w:ascii="Arial" w:hAnsi="Arial" w:cs="Arial"/>
        <w:smallCaps/>
        <w:color w:val="5B9BD5"/>
        <w:sz w:val="16"/>
        <w:szCs w:val="16"/>
      </w:rPr>
    </w:pPr>
    <w:r w:rsidRPr="00446347">
      <w:rPr>
        <w:rFonts w:ascii="Arial" w:hAnsi="Arial" w:cs="Arial"/>
        <w:sz w:val="16"/>
        <w:szCs w:val="16"/>
      </w:rPr>
      <w:t>2020</w:t>
    </w:r>
    <w:r w:rsidR="000E44CD">
      <w:rPr>
        <w:rFonts w:ascii="Arial" w:hAnsi="Arial" w:cs="Arial"/>
        <w:sz w:val="16"/>
        <w:szCs w:val="16"/>
      </w:rPr>
      <w:t>0511</w:t>
    </w:r>
    <w:r w:rsidRPr="00446347">
      <w:rPr>
        <w:rFonts w:ascii="Arial" w:hAnsi="Arial" w:cs="Arial"/>
        <w:sz w:val="16"/>
        <w:szCs w:val="16"/>
      </w:rPr>
      <w:t>_V1</w:t>
    </w:r>
  </w:p>
  <w:p w14:paraId="73FDD1BF" w14:textId="77777777" w:rsidR="00610A52" w:rsidRPr="00CC0A08" w:rsidRDefault="00C31DD3" w:rsidP="00610A52">
    <w:pPr>
      <w:tabs>
        <w:tab w:val="center" w:pos="4419"/>
        <w:tab w:val="right" w:pos="8838"/>
      </w:tabs>
      <w:jc w:val="center"/>
      <w:rPr>
        <w:rFonts w:ascii="Arial" w:hAnsi="Arial" w:cs="Arial"/>
        <w:b/>
        <w:bCs/>
        <w:color w:val="009999"/>
        <w:sz w:val="20"/>
        <w:szCs w:val="20"/>
      </w:rPr>
    </w:pPr>
    <w:r w:rsidRPr="00CC0A08">
      <w:rPr>
        <w:rFonts w:ascii="Arial" w:hAnsi="Arial" w:cs="Arial"/>
        <w:b/>
        <w:bCs/>
        <w:smallCaps/>
        <w:color w:val="009999"/>
        <w:sz w:val="20"/>
        <w:szCs w:val="20"/>
      </w:rPr>
      <w:fldChar w:fldCharType="begin"/>
    </w:r>
    <w:r w:rsidRPr="00CC0A08">
      <w:rPr>
        <w:rFonts w:ascii="Arial" w:hAnsi="Arial" w:cs="Arial"/>
        <w:b/>
        <w:bCs/>
        <w:smallCaps/>
        <w:color w:val="009999"/>
        <w:sz w:val="20"/>
        <w:szCs w:val="20"/>
      </w:rPr>
      <w:instrText>PAGE</w:instrText>
    </w:r>
    <w:r w:rsidRPr="00CC0A08">
      <w:rPr>
        <w:rFonts w:ascii="Arial" w:hAnsi="Arial" w:cs="Arial"/>
        <w:b/>
        <w:bCs/>
        <w:smallCaps/>
        <w:color w:val="009999"/>
        <w:sz w:val="20"/>
        <w:szCs w:val="20"/>
      </w:rPr>
      <w:fldChar w:fldCharType="separate"/>
    </w:r>
    <w:r w:rsidR="007127F2">
      <w:rPr>
        <w:rFonts w:ascii="Arial" w:hAnsi="Arial" w:cs="Arial"/>
        <w:b/>
        <w:bCs/>
        <w:smallCaps/>
        <w:noProof/>
        <w:color w:val="009999"/>
        <w:sz w:val="20"/>
        <w:szCs w:val="20"/>
      </w:rPr>
      <w:t>3</w:t>
    </w:r>
    <w:r w:rsidRPr="00CC0A08">
      <w:rPr>
        <w:rFonts w:ascii="Arial" w:hAnsi="Arial" w:cs="Arial"/>
        <w:b/>
        <w:bCs/>
        <w:smallCaps/>
        <w:color w:val="009999"/>
        <w:sz w:val="20"/>
        <w:szCs w:val="20"/>
      </w:rPr>
      <w:fldChar w:fldCharType="end"/>
    </w:r>
  </w:p>
  <w:p w14:paraId="6B6474D6" w14:textId="77777777" w:rsidR="00777A70" w:rsidRDefault="00C31DD3">
    <w:pP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  <w:lang w:val="es-MX"/>
      </w:rPr>
      <w:drawing>
        <wp:anchor distT="0" distB="0" distL="114300" distR="114300" simplePos="0" relativeHeight="251660288" behindDoc="1" locked="0" layoutInCell="1" allowOverlap="1" wp14:anchorId="5FC0067B" wp14:editId="64C598FD">
          <wp:simplePos x="0" y="0"/>
          <wp:positionH relativeFrom="column">
            <wp:posOffset>-850900</wp:posOffset>
          </wp:positionH>
          <wp:positionV relativeFrom="paragraph">
            <wp:posOffset>175895</wp:posOffset>
          </wp:positionV>
          <wp:extent cx="7673975" cy="401955"/>
          <wp:effectExtent l="0" t="0" r="0" b="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9616" b="23875"/>
                  <a:stretch>
                    <a:fillRect/>
                  </a:stretch>
                </pic:blipFill>
                <pic:spPr bwMode="auto">
                  <a:xfrm>
                    <a:off x="0" y="0"/>
                    <a:ext cx="767397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AF391" w14:textId="77777777" w:rsidR="00013D92" w:rsidRDefault="00013D92" w:rsidP="000E44CD">
      <w:r>
        <w:separator/>
      </w:r>
    </w:p>
  </w:footnote>
  <w:footnote w:type="continuationSeparator" w:id="0">
    <w:p w14:paraId="07A20777" w14:textId="77777777" w:rsidR="00013D92" w:rsidRDefault="00013D92" w:rsidP="000E4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B8251" w14:textId="77777777" w:rsidR="00777A70" w:rsidRDefault="00C31DD3">
    <w:pPr>
      <w:spacing w:before="120"/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noProof/>
        <w:lang w:val="es-MX"/>
      </w:rPr>
      <w:drawing>
        <wp:anchor distT="0" distB="0" distL="114300" distR="118745" simplePos="0" relativeHeight="251659264" behindDoc="1" locked="0" layoutInCell="1" allowOverlap="1" wp14:anchorId="324E354E" wp14:editId="7D5FD01E">
          <wp:simplePos x="0" y="0"/>
          <wp:positionH relativeFrom="column">
            <wp:posOffset>-525145</wp:posOffset>
          </wp:positionH>
          <wp:positionV relativeFrom="paragraph">
            <wp:posOffset>-111125</wp:posOffset>
          </wp:positionV>
          <wp:extent cx="1062355" cy="50355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804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color w:val="4597A1"/>
        <w:sz w:val="18"/>
        <w:szCs w:val="18"/>
      </w:rPr>
      <w:t>Instituto de Transparencia, Acceso a la Información Pública,</w:t>
    </w:r>
  </w:p>
  <w:p w14:paraId="10633AA4" w14:textId="77777777" w:rsidR="00777A70" w:rsidRDefault="00C31DD3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  <w:r>
      <w:rPr>
        <w:rFonts w:ascii="Arial Black" w:eastAsia="Arial Black" w:hAnsi="Arial Black" w:cs="Arial Black"/>
        <w:color w:val="4597A1"/>
        <w:sz w:val="18"/>
        <w:szCs w:val="18"/>
      </w:rPr>
      <w:t>Protección de Datos Personales y Rendición de Cuentas de la Ciudad de México</w:t>
    </w:r>
  </w:p>
  <w:p w14:paraId="49CD578E" w14:textId="77777777" w:rsidR="00777A70" w:rsidRDefault="00013D92">
    <w:pPr>
      <w:ind w:right="-142"/>
      <w:jc w:val="right"/>
      <w:rPr>
        <w:rFonts w:ascii="Arial Black" w:eastAsia="Arial Black" w:hAnsi="Arial Black" w:cs="Arial Black"/>
        <w:color w:val="4597A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6685E"/>
    <w:multiLevelType w:val="hybridMultilevel"/>
    <w:tmpl w:val="510808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3EBF"/>
    <w:multiLevelType w:val="multilevel"/>
    <w:tmpl w:val="ABC426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0F41C1"/>
    <w:multiLevelType w:val="hybridMultilevel"/>
    <w:tmpl w:val="9FFAA67E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E11E6C"/>
    <w:multiLevelType w:val="hybridMultilevel"/>
    <w:tmpl w:val="5EA692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500CD"/>
    <w:multiLevelType w:val="hybridMultilevel"/>
    <w:tmpl w:val="BEA4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474F9"/>
    <w:multiLevelType w:val="multilevel"/>
    <w:tmpl w:val="B0ECC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92B2830"/>
    <w:multiLevelType w:val="hybridMultilevel"/>
    <w:tmpl w:val="EC4A5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265"/>
    <w:rsid w:val="00013D92"/>
    <w:rsid w:val="000E44CD"/>
    <w:rsid w:val="0034773C"/>
    <w:rsid w:val="003C2316"/>
    <w:rsid w:val="00561278"/>
    <w:rsid w:val="00701265"/>
    <w:rsid w:val="007127F2"/>
    <w:rsid w:val="00905CC2"/>
    <w:rsid w:val="00AD1E12"/>
    <w:rsid w:val="00C31DD3"/>
    <w:rsid w:val="00E76329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FCFCA"/>
  <w15:chartTrackingRefBased/>
  <w15:docId w15:val="{33C91D5D-2E8A-413B-8D55-A85751C5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01265"/>
    <w:rPr>
      <w:lang w:val="es-ES_tradnl"/>
    </w:rPr>
  </w:style>
  <w:style w:type="paragraph" w:styleId="Encabezado">
    <w:name w:val="header"/>
    <w:basedOn w:val="Normal"/>
    <w:link w:val="EncabezadoCar"/>
    <w:unhideWhenUsed/>
    <w:rsid w:val="007012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character" w:customStyle="1" w:styleId="EncabezadoCar1">
    <w:name w:val="Encabezado Car1"/>
    <w:basedOn w:val="Fuentedeprrafopredeter"/>
    <w:uiPriority w:val="99"/>
    <w:semiHidden/>
    <w:rsid w:val="00701265"/>
    <w:rPr>
      <w:rFonts w:ascii="Times New Roman" w:eastAsia="Times New Roman" w:hAnsi="Times New Roman" w:cs="Times New Roman"/>
      <w:sz w:val="24"/>
      <w:szCs w:val="24"/>
      <w:lang w:val="es-ES" w:eastAsia="es-MX"/>
    </w:rPr>
  </w:style>
  <w:style w:type="paragraph" w:styleId="Prrafodelista">
    <w:name w:val="List Paragraph"/>
    <w:basedOn w:val="Normal"/>
    <w:uiPriority w:val="34"/>
    <w:qFormat/>
    <w:rsid w:val="00701265"/>
    <w:pPr>
      <w:spacing w:after="160" w:line="259" w:lineRule="auto"/>
      <w:ind w:left="720"/>
      <w:contextualSpacing/>
    </w:pPr>
    <w:rPr>
      <w:rFonts w:asciiTheme="minorHAnsi" w:eastAsiaTheme="minorHAnsi" w:hAnsiTheme="minorHAnsi" w:cs="Calibr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0E44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44CD"/>
    <w:rPr>
      <w:rFonts w:ascii="Times New Roman" w:eastAsia="Times New Roman" w:hAnsi="Times New Roman" w:cs="Times New Roman"/>
      <w:sz w:val="24"/>
      <w:szCs w:val="24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416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Sonia Quintana Martínez</cp:lastModifiedBy>
  <cp:revision>2</cp:revision>
  <dcterms:created xsi:type="dcterms:W3CDTF">2020-05-12T01:16:00Z</dcterms:created>
  <dcterms:modified xsi:type="dcterms:W3CDTF">2020-05-12T01:16:00Z</dcterms:modified>
</cp:coreProperties>
</file>